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8" w:rsidRPr="00944201" w:rsidRDefault="00781038" w:rsidP="00781038">
      <w:pPr>
        <w:tabs>
          <w:tab w:val="left" w:pos="142"/>
        </w:tabs>
        <w:spacing w:after="0" w:line="240" w:lineRule="auto"/>
        <w:rPr>
          <w:color w:val="FFFF66"/>
          <w:sz w:val="24"/>
          <w:szCs w:val="24"/>
        </w:rPr>
      </w:pPr>
    </w:p>
    <w:p w:rsidR="00781038" w:rsidRDefault="00944201" w:rsidP="00944201">
      <w:pPr>
        <w:tabs>
          <w:tab w:val="left" w:pos="142"/>
        </w:tabs>
        <w:spacing w:after="0" w:line="240" w:lineRule="auto"/>
        <w:rPr>
          <w:rFonts w:ascii="Edwardian Script ITC" w:hAnsi="Edwardian Script ITC"/>
          <w:color w:val="FFCC66"/>
          <w:sz w:val="72"/>
          <w:szCs w:val="72"/>
        </w:rPr>
      </w:pPr>
      <w:r w:rsidRPr="00944201">
        <w:rPr>
          <w:rFonts w:ascii="Edwardian Script ITC" w:hAnsi="Edwardian Script ITC"/>
          <w:color w:val="FFCC66"/>
          <w:sz w:val="72"/>
          <w:szCs w:val="72"/>
        </w:rPr>
        <w:t>B &amp; B Victoria</w:t>
      </w:r>
    </w:p>
    <w:p w:rsidR="00944201" w:rsidRPr="00944201" w:rsidRDefault="00944201" w:rsidP="00944201">
      <w:pPr>
        <w:tabs>
          <w:tab w:val="left" w:pos="142"/>
        </w:tabs>
        <w:spacing w:after="0" w:line="240" w:lineRule="auto"/>
        <w:rPr>
          <w:rFonts w:ascii="Edwardian Script ITC" w:hAnsi="Edwardian Script ITC"/>
          <w:color w:val="365F91" w:themeColor="accent1" w:themeShade="BF"/>
          <w:sz w:val="28"/>
          <w:szCs w:val="28"/>
        </w:rPr>
      </w:pPr>
      <w:r w:rsidRPr="00944201">
        <w:rPr>
          <w:rFonts w:ascii="Edwardian Script ITC" w:hAnsi="Edwardian Script ITC"/>
          <w:color w:val="365F91" w:themeColor="accent1" w:themeShade="BF"/>
          <w:sz w:val="28"/>
          <w:szCs w:val="28"/>
        </w:rPr>
        <w:t xml:space="preserve">Via C.Alvaro 14 </w:t>
      </w:r>
    </w:p>
    <w:p w:rsidR="00944201" w:rsidRPr="00944201" w:rsidRDefault="00944201" w:rsidP="00944201">
      <w:pPr>
        <w:tabs>
          <w:tab w:val="left" w:pos="142"/>
        </w:tabs>
        <w:spacing w:after="0" w:line="240" w:lineRule="auto"/>
        <w:rPr>
          <w:rFonts w:ascii="Edwardian Script ITC" w:hAnsi="Edwardian Script ITC"/>
          <w:color w:val="365F91" w:themeColor="accent1" w:themeShade="BF"/>
          <w:sz w:val="28"/>
          <w:szCs w:val="28"/>
        </w:rPr>
      </w:pPr>
      <w:r w:rsidRPr="00944201">
        <w:rPr>
          <w:rFonts w:ascii="Edwardian Script ITC" w:hAnsi="Edwardian Script ITC"/>
          <w:color w:val="365F91" w:themeColor="accent1" w:themeShade="BF"/>
          <w:sz w:val="28"/>
          <w:szCs w:val="28"/>
        </w:rPr>
        <w:t>Loc. Montemanno</w:t>
      </w:r>
    </w:p>
    <w:p w:rsidR="00944201" w:rsidRPr="00944201" w:rsidRDefault="00944201" w:rsidP="00944201">
      <w:pPr>
        <w:tabs>
          <w:tab w:val="left" w:pos="142"/>
        </w:tabs>
        <w:spacing w:after="0" w:line="240" w:lineRule="auto"/>
        <w:rPr>
          <w:rFonts w:ascii="Edwardian Script ITC" w:hAnsi="Edwardian Script ITC"/>
          <w:color w:val="365F91" w:themeColor="accent1" w:themeShade="BF"/>
          <w:sz w:val="28"/>
          <w:szCs w:val="28"/>
        </w:rPr>
      </w:pPr>
      <w:r w:rsidRPr="00944201">
        <w:rPr>
          <w:rFonts w:ascii="Edwardian Script ITC" w:hAnsi="Edwardian Script ITC"/>
          <w:color w:val="365F91" w:themeColor="accent1" w:themeShade="BF"/>
          <w:sz w:val="28"/>
          <w:szCs w:val="28"/>
        </w:rPr>
        <w:t>Badolato Marina</w:t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  <w:r>
        <w:rPr>
          <w:rFonts w:ascii="Edwardian Script ITC" w:hAnsi="Edwardian Script ITC"/>
          <w:color w:val="365F91" w:themeColor="accent1" w:themeShade="BF"/>
          <w:sz w:val="28"/>
          <w:szCs w:val="28"/>
        </w:rPr>
        <w:tab/>
      </w:r>
    </w:p>
    <w:p w:rsidR="00944201" w:rsidRDefault="00944201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201" w:rsidRDefault="00944201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Spett.Le Athlon S.S.D a R.L</w:t>
      </w:r>
    </w:p>
    <w:p w:rsidR="00944201" w:rsidRDefault="00944201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degli Oleandri 11/A</w:t>
      </w:r>
    </w:p>
    <w:p w:rsidR="00944201" w:rsidRDefault="00944201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88060 Isca sullo Ionio</w:t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526C36" w:rsidRDefault="00526C36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944201" w:rsidRDefault="00944201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731D4E">
        <w:rPr>
          <w:b/>
          <w:bCs/>
          <w:sz w:val="24"/>
          <w:szCs w:val="24"/>
        </w:rPr>
        <w:t>Campionati Regionali Indoor – Esordienti – 16/17 MARZO 2013</w:t>
      </w:r>
    </w:p>
    <w:p w:rsidR="00526C36" w:rsidRDefault="00526C36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Pr="00526C36" w:rsidRDefault="00781038" w:rsidP="00526C36">
      <w:pPr>
        <w:pStyle w:val="Paragrafoelenco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  <w:r w:rsidRPr="00526C36">
        <w:rPr>
          <w:b/>
          <w:bCs/>
          <w:sz w:val="24"/>
          <w:szCs w:val="24"/>
        </w:rPr>
        <w:t>OFFERTA 1 NOTTE</w:t>
      </w:r>
      <w:r w:rsidR="00526C36">
        <w:rPr>
          <w:b/>
          <w:bCs/>
          <w:sz w:val="24"/>
          <w:szCs w:val="24"/>
        </w:rPr>
        <w:t>:</w:t>
      </w:r>
      <w:r w:rsidR="00526C36">
        <w:rPr>
          <w:b/>
          <w:bCs/>
          <w:sz w:val="24"/>
          <w:szCs w:val="24"/>
        </w:rPr>
        <w:tab/>
      </w:r>
      <w:r w:rsidR="00944201" w:rsidRPr="00526C36">
        <w:rPr>
          <w:sz w:val="24"/>
          <w:szCs w:val="24"/>
        </w:rPr>
        <w:t xml:space="preserve"> </w:t>
      </w:r>
      <w:r w:rsidR="00526C36">
        <w:rPr>
          <w:sz w:val="24"/>
          <w:szCs w:val="24"/>
        </w:rPr>
        <w:t xml:space="preserve">Pernottamento &amp; </w:t>
      </w:r>
      <w:r w:rsidR="00526C36" w:rsidRPr="00526C36">
        <w:rPr>
          <w:sz w:val="24"/>
          <w:szCs w:val="24"/>
        </w:rPr>
        <w:t xml:space="preserve"> Colazione € 25,00</w:t>
      </w:r>
      <w:r w:rsidRPr="00526C36">
        <w:rPr>
          <w:sz w:val="24"/>
          <w:szCs w:val="24"/>
        </w:rPr>
        <w:t xml:space="preserve"> a persona </w:t>
      </w:r>
      <w:r w:rsidR="00526C36" w:rsidRPr="00526C36">
        <w:rPr>
          <w:sz w:val="24"/>
          <w:szCs w:val="24"/>
        </w:rPr>
        <w:t>( camera doppia )</w:t>
      </w:r>
    </w:p>
    <w:p w:rsidR="00526C36" w:rsidRPr="00526C36" w:rsidRDefault="00526C36" w:rsidP="00526C36">
      <w:pPr>
        <w:tabs>
          <w:tab w:val="left" w:pos="142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€ 70,00 ( tripla )</w:t>
      </w:r>
    </w:p>
    <w:p w:rsidR="00526C36" w:rsidRDefault="00526C36" w:rsidP="00526C36">
      <w:pPr>
        <w:tabs>
          <w:tab w:val="left" w:pos="142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Pr="00526C36" w:rsidRDefault="00781038" w:rsidP="00526C36">
      <w:pPr>
        <w:pStyle w:val="Paragrafoelenco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  <w:r w:rsidRPr="00526C36">
        <w:rPr>
          <w:b/>
          <w:bCs/>
          <w:sz w:val="24"/>
          <w:szCs w:val="24"/>
        </w:rPr>
        <w:t>OFFERTA 2 NOTTI:</w:t>
      </w:r>
      <w:r w:rsidRPr="00526C36">
        <w:rPr>
          <w:sz w:val="24"/>
          <w:szCs w:val="24"/>
        </w:rPr>
        <w:t xml:space="preserve"> </w:t>
      </w:r>
      <w:r w:rsidR="00526C36" w:rsidRPr="00526C36">
        <w:rPr>
          <w:sz w:val="24"/>
          <w:szCs w:val="24"/>
        </w:rPr>
        <w:tab/>
        <w:t xml:space="preserve"> Pernottamento &amp; Colazione €   45,00 a persona ( camera doppia )</w:t>
      </w:r>
    </w:p>
    <w:p w:rsidR="00944201" w:rsidRPr="00944201" w:rsidRDefault="00526C36" w:rsidP="00944201">
      <w:pPr>
        <w:tabs>
          <w:tab w:val="left" w:pos="142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€ 130,00 ( tripla )</w:t>
      </w:r>
    </w:p>
    <w:p w:rsidR="00944201" w:rsidRPr="00944201" w:rsidRDefault="00944201" w:rsidP="00944201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ind w:left="1080"/>
        <w:rPr>
          <w:rFonts w:cs="Arial"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731D4E">
        <w:rPr>
          <w:b/>
          <w:bCs/>
          <w:sz w:val="24"/>
          <w:szCs w:val="24"/>
        </w:rPr>
        <w:t>Modalità di prenotazione</w:t>
      </w:r>
      <w:r>
        <w:rPr>
          <w:sz w:val="24"/>
          <w:szCs w:val="24"/>
        </w:rPr>
        <w:t xml:space="preserve">: </w:t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prega di prenotare entro e non oltre il 14/03 direttamente al B &amp; B Victoria ai seguenti recapiti:</w:t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0967/814501</w:t>
      </w:r>
      <w:r w:rsidRPr="00731D4E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: 338/6353008 – 333/9261970</w:t>
      </w:r>
    </w:p>
    <w:p w:rsidR="00781038" w:rsidRP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b/>
          <w:bCs/>
          <w:color w:val="17365D" w:themeColor="text2" w:themeShade="BF"/>
          <w:sz w:val="24"/>
          <w:szCs w:val="24"/>
          <w:u w:val="single"/>
        </w:rPr>
      </w:pPr>
      <w:r w:rsidRPr="00781038">
        <w:rPr>
          <w:color w:val="17365D" w:themeColor="text2" w:themeShade="BF"/>
          <w:u w:val="single"/>
        </w:rPr>
        <w:t>vitt.bressi@tiscali.it</w:t>
      </w:r>
    </w:p>
    <w:p w:rsidR="00781038" w:rsidRPr="00731D4E" w:rsidRDefault="00781038" w:rsidP="00781038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81038" w:rsidRPr="00731D4E" w:rsidRDefault="00781038" w:rsidP="00781038">
      <w:pPr>
        <w:tabs>
          <w:tab w:val="left" w:pos="142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Distanza da Isca Marina </w:t>
      </w:r>
      <w:r w:rsidR="00944201">
        <w:rPr>
          <w:sz w:val="24"/>
          <w:szCs w:val="24"/>
        </w:rPr>
        <w:t>5</w:t>
      </w:r>
      <w:r>
        <w:rPr>
          <w:sz w:val="24"/>
          <w:szCs w:val="24"/>
        </w:rPr>
        <w:t xml:space="preserve"> minuti circa</w:t>
      </w:r>
    </w:p>
    <w:p w:rsidR="00781038" w:rsidRDefault="00781038" w:rsidP="00781038">
      <w:p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</w:p>
    <w:p w:rsidR="00781038" w:rsidRDefault="00781038" w:rsidP="00781038">
      <w:pPr>
        <w:tabs>
          <w:tab w:val="left" w:pos="142"/>
        </w:tabs>
        <w:spacing w:after="0" w:line="240" w:lineRule="auto"/>
        <w:jc w:val="right"/>
        <w:rPr>
          <w:rFonts w:cs="Arial"/>
          <w:sz w:val="24"/>
          <w:szCs w:val="24"/>
        </w:rPr>
      </w:pPr>
    </w:p>
    <w:p w:rsidR="00240FA9" w:rsidRDefault="00526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Direzione</w:t>
      </w:r>
    </w:p>
    <w:p w:rsidR="00526C36" w:rsidRDefault="00526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6C36" w:rsidSect="00944201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32" w:rsidRDefault="00F43932" w:rsidP="00781038">
      <w:pPr>
        <w:spacing w:after="0" w:line="240" w:lineRule="auto"/>
      </w:pPr>
      <w:r>
        <w:separator/>
      </w:r>
    </w:p>
  </w:endnote>
  <w:endnote w:type="continuationSeparator" w:id="1">
    <w:p w:rsidR="00F43932" w:rsidRDefault="00F43932" w:rsidP="007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4E" w:rsidRDefault="0031607C" w:rsidP="000567A0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  <w:r w:rsidRPr="0031607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4.05pt;margin-top:-1.05pt;width:475.5pt;height:.05pt;z-index:251661312" o:connectortype="straight" strokecolor="#bfbfbf"/>
      </w:pict>
    </w:r>
    <w:r w:rsidRPr="0031607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.8pt;margin-top:1.25pt;width:224.9pt;height:60.65pt;z-index:251663360" stroked="f">
          <v:textbox style="mso-next-textbox:#_x0000_s1028">
            <w:txbxContent>
              <w:p w:rsidR="00AF3C4E" w:rsidRPr="00CE5D05" w:rsidRDefault="00F43932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</w:p>
              <w:p w:rsidR="00AF3C4E" w:rsidRPr="00CE5D05" w:rsidRDefault="00F43932" w:rsidP="00CE5D05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</w:p>
            </w:txbxContent>
          </v:textbox>
        </v:shape>
      </w:pict>
    </w:r>
    <w:r w:rsidRPr="0031607C">
      <w:rPr>
        <w:noProof/>
        <w:lang w:eastAsia="it-IT"/>
      </w:rPr>
      <w:pict>
        <v:shape id="_x0000_s1027" type="#_x0000_t202" style="position:absolute;margin-left:250.4pt;margin-top:1.25pt;width:224.9pt;height:60.65pt;z-index:251662336" stroked="f">
          <v:textbox style="mso-next-textbox:#_x0000_s1027">
            <w:txbxContent>
              <w:p w:rsidR="00AF3C4E" w:rsidRPr="00781038" w:rsidRDefault="00F43932" w:rsidP="00665A02">
                <w:pPr>
                  <w:spacing w:after="0" w:line="240" w:lineRule="auto"/>
                  <w:rPr>
                    <w:rFonts w:ascii="Century Gothic" w:hAnsi="Century Gothic" w:cs="Century Gothic"/>
                    <w:sz w:val="18"/>
                    <w:szCs w:val="18"/>
                    <w:lang w:val="en-GB"/>
                  </w:rPr>
                </w:pPr>
              </w:p>
            </w:txbxContent>
          </v:textbox>
        </v:shape>
      </w:pict>
    </w:r>
    <w:r w:rsidRPr="0031607C">
      <w:rPr>
        <w:noProof/>
        <w:lang w:eastAsia="it-IT"/>
      </w:rPr>
      <w:pict>
        <v:shape id="_x0000_s1029" type="#_x0000_t32" style="position:absolute;margin-left:230.55pt;margin-top:-.4pt;width:0;height:64.55pt;z-index:251664384" o:connectortype="straight" strokecolor="#bfbfbf"/>
      </w:pict>
    </w:r>
  </w:p>
  <w:p w:rsidR="00AF3C4E" w:rsidRDefault="00F43932" w:rsidP="00606C41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</w:p>
  <w:p w:rsidR="00AF3C4E" w:rsidRPr="00CE5D05" w:rsidRDefault="00F43932" w:rsidP="00606C41">
    <w:pPr>
      <w:pStyle w:val="Pidipagina"/>
      <w:spacing w:after="0" w:line="240" w:lineRule="auto"/>
      <w:rPr>
        <w:rFonts w:ascii="Century Gothic" w:hAnsi="Century Gothic" w:cs="Century Gothi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32" w:rsidRDefault="00F43932" w:rsidP="00781038">
      <w:pPr>
        <w:spacing w:after="0" w:line="240" w:lineRule="auto"/>
      </w:pPr>
      <w:r>
        <w:separator/>
      </w:r>
    </w:p>
  </w:footnote>
  <w:footnote w:type="continuationSeparator" w:id="1">
    <w:p w:rsidR="00F43932" w:rsidRDefault="00F43932" w:rsidP="0078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C6"/>
    <w:multiLevelType w:val="hybridMultilevel"/>
    <w:tmpl w:val="5F50DAEC"/>
    <w:lvl w:ilvl="0" w:tplc="76644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47714E"/>
    <w:multiLevelType w:val="hybridMultilevel"/>
    <w:tmpl w:val="EFEE2DE8"/>
    <w:lvl w:ilvl="0" w:tplc="7DD4A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CF4035"/>
    <w:multiLevelType w:val="hybridMultilevel"/>
    <w:tmpl w:val="69229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1038"/>
    <w:rsid w:val="00240FA9"/>
    <w:rsid w:val="0031607C"/>
    <w:rsid w:val="00526C36"/>
    <w:rsid w:val="00781038"/>
    <w:rsid w:val="00856AF8"/>
    <w:rsid w:val="00944201"/>
    <w:rsid w:val="00C9675F"/>
    <w:rsid w:val="00F4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038"/>
    <w:rPr>
      <w:rFonts w:ascii="Calibri" w:eastAsia="PMingLiU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81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1038"/>
    <w:rPr>
      <w:rFonts w:ascii="Calibri" w:eastAsia="PMingLiU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rsid w:val="00781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1038"/>
    <w:rPr>
      <w:rFonts w:ascii="Calibri" w:eastAsia="PMingLiU" w:hAnsi="Calibri" w:cs="Calibri"/>
      <w:lang w:eastAsia="zh-TW"/>
    </w:rPr>
  </w:style>
  <w:style w:type="character" w:styleId="Collegamentoipertestuale">
    <w:name w:val="Hyperlink"/>
    <w:basedOn w:val="Carpredefinitoparagrafo"/>
    <w:uiPriority w:val="99"/>
    <w:rsid w:val="007810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4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C36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cp:lastPrinted>2013-02-16T16:34:00Z</cp:lastPrinted>
  <dcterms:created xsi:type="dcterms:W3CDTF">2013-02-23T08:54:00Z</dcterms:created>
  <dcterms:modified xsi:type="dcterms:W3CDTF">2013-02-23T08:54:00Z</dcterms:modified>
</cp:coreProperties>
</file>